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4128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384.311127pt;width:504.6pt;height:349.7pt;mso-position-horizontal-relative:page;mso-position-vertical-relative:page;z-index:-15840768" id="docshapegroup1" coordorigin="680,7686" coordsize="10092,6994">
            <v:line style="position:absolute" from="680,7696" to="1276,7696" stroked="true" strokeweight="1pt" strokecolor="#808285">
              <v:stroke dashstyle="solid"/>
            </v:line>
            <v:line style="position:absolute" from="690,8848" to="690,7706" stroked="true" strokeweight="1pt" strokecolor="#808285">
              <v:stroke dashstyle="solid"/>
            </v:line>
            <v:line style="position:absolute" from="1276,7696" to="10772,7696" stroked="true" strokeweight="1pt" strokecolor="#808285">
              <v:stroke dashstyle="solid"/>
            </v:line>
            <v:line style="position:absolute" from="1276,8848" to="1276,7706" stroked="true" strokeweight="1pt" strokecolor="#808285">
              <v:stroke dashstyle="solid"/>
            </v:line>
            <v:line style="position:absolute" from="10762,8848" to="10762,7706" stroked="true" strokeweight="1pt" strokecolor="#808285">
              <v:stroke dashstyle="solid"/>
            </v:line>
            <v:line style="position:absolute" from="680,8858" to="1276,8858" stroked="true" strokeweight="1pt" strokecolor="#808285">
              <v:stroke dashstyle="solid"/>
            </v:line>
            <v:line style="position:absolute" from="690,9731" to="690,8868" stroked="true" strokeweight="1pt" strokecolor="#808285">
              <v:stroke dashstyle="solid"/>
            </v:line>
            <v:line style="position:absolute" from="1276,8858" to="10772,8858" stroked="true" strokeweight="1pt" strokecolor="#808285">
              <v:stroke dashstyle="solid"/>
            </v:line>
            <v:line style="position:absolute" from="1276,9731" to="1276,8868" stroked="true" strokeweight="1pt" strokecolor="#808285">
              <v:stroke dashstyle="solid"/>
            </v:line>
            <v:line style="position:absolute" from="10762,9731" to="10762,8868" stroked="true" strokeweight="1pt" strokecolor="#808285">
              <v:stroke dashstyle="solid"/>
            </v:line>
            <v:line style="position:absolute" from="680,9741" to="1276,9741" stroked="true" strokeweight="1pt" strokecolor="#808285">
              <v:stroke dashstyle="solid"/>
            </v:line>
            <v:line style="position:absolute" from="690,10333" to="690,9751" stroked="true" strokeweight="1pt" strokecolor="#808285">
              <v:stroke dashstyle="solid"/>
            </v:line>
            <v:line style="position:absolute" from="1276,9741" to="10772,9741" stroked="true" strokeweight="1pt" strokecolor="#808285">
              <v:stroke dashstyle="solid"/>
            </v:line>
            <v:line style="position:absolute" from="1276,10333" to="1276,9751" stroked="true" strokeweight="1pt" strokecolor="#808285">
              <v:stroke dashstyle="solid"/>
            </v:line>
            <v:line style="position:absolute" from="10762,10333" to="10762,9751" stroked="true" strokeweight="1pt" strokecolor="#808285">
              <v:stroke dashstyle="solid"/>
            </v:line>
            <v:line style="position:absolute" from="680,10343" to="1276,10343" stroked="true" strokeweight="1pt" strokecolor="#808285">
              <v:stroke dashstyle="solid"/>
            </v:line>
            <v:line style="position:absolute" from="690,10935" to="690,10353" stroked="true" strokeweight="1pt" strokecolor="#808285">
              <v:stroke dashstyle="solid"/>
            </v:line>
            <v:line style="position:absolute" from="1276,10343" to="10772,10343" stroked="true" strokeweight="1pt" strokecolor="#808285">
              <v:stroke dashstyle="solid"/>
            </v:line>
            <v:line style="position:absolute" from="1276,10935" to="1276,10353" stroked="true" strokeweight="1pt" strokecolor="#808285">
              <v:stroke dashstyle="solid"/>
            </v:line>
            <v:line style="position:absolute" from="10762,10935" to="10762,10353" stroked="true" strokeweight="1pt" strokecolor="#808285">
              <v:stroke dashstyle="solid"/>
            </v:line>
            <v:line style="position:absolute" from="680,10945" to="1276,10945" stroked="true" strokeweight="1pt" strokecolor="#808285">
              <v:stroke dashstyle="solid"/>
            </v:line>
            <v:line style="position:absolute" from="690,13217" to="690,10955" stroked="true" strokeweight="1pt" strokecolor="#808285">
              <v:stroke dashstyle="solid"/>
            </v:line>
            <v:line style="position:absolute" from="1276,10945" to="10772,10945" stroked="true" strokeweight="1pt" strokecolor="#808285">
              <v:stroke dashstyle="solid"/>
            </v:line>
            <v:line style="position:absolute" from="1276,13217" to="1276,10955" stroked="true" strokeweight="1pt" strokecolor="#808285">
              <v:stroke dashstyle="solid"/>
            </v:line>
            <v:line style="position:absolute" from="10762,13217" to="10762,10955" stroked="true" strokeweight="1pt" strokecolor="#808285">
              <v:stroke dashstyle="solid"/>
            </v:line>
            <v:line style="position:absolute" from="680,13227" to="1276,13227" stroked="true" strokeweight="1pt" strokecolor="#808285">
              <v:stroke dashstyle="solid"/>
            </v:line>
            <v:line style="position:absolute" from="690,14659" to="690,13237" stroked="true" strokeweight="1pt" strokecolor="#808285">
              <v:stroke dashstyle="solid"/>
            </v:line>
            <v:line style="position:absolute" from="1276,13227" to="10772,13227" stroked="true" strokeweight="1pt" strokecolor="#808285">
              <v:stroke dashstyle="solid"/>
            </v:line>
            <v:line style="position:absolute" from="1276,14659" to="1276,13237" stroked="true" strokeweight="1pt" strokecolor="#808285">
              <v:stroke dashstyle="solid"/>
            </v:line>
            <v:line style="position:absolute" from="10762,14659" to="10762,13237" stroked="true" strokeweight="1pt" strokecolor="#808285">
              <v:stroke dashstyle="solid"/>
            </v:line>
            <v:line style="position:absolute" from="680,14669" to="1276,14669" stroked="true" strokeweight="1pt" strokecolor="#808285">
              <v:stroke dashstyle="solid"/>
            </v:line>
            <v:line style="position:absolute" from="1276,14669" to="10772,14669" stroked="true" strokeweight="1pt" strokecolor="#808285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54.8pt;mso-position-horizontal-relative:page;mso-position-vertical-relative:page;z-index:-15840256" type="#_x0000_t202" id="docshape2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10" w:right="9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Safer</w:t>
                  </w:r>
                  <w:r>
                    <w:rPr>
                      <w:b/>
                      <w:color w:val="E21E26"/>
                      <w:spacing w:val="-7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recruitment</w:t>
                  </w:r>
                  <w:r>
                    <w:rPr>
                      <w:b/>
                      <w:color w:val="E21E26"/>
                      <w:spacing w:val="-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practice</w:t>
                  </w:r>
                  <w:r>
                    <w:rPr>
                      <w:b/>
                      <w:color w:val="E21E26"/>
                      <w:spacing w:val="-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guidance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30.982498pt;width:423.05pt;height:14.8pt;mso-position-horizontal-relative:page;mso-position-vertical-relative:page;z-index:-15839744" type="#_x0000_t202" id="docshape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1.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Safer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Recruiting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in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the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parish: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executive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summary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models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of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good</w:t>
                  </w:r>
                  <w:r>
                    <w:rPr>
                      <w:b/>
                      <w:color w:val="E21E26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practice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160698pt;margin-top:144.985504pt;width:21.55pt;height:14.8pt;mso-position-horizontal-relative:page;mso-position-vertical-relative:page;z-index:-15839232" type="#_x0000_t202" id="docshape4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1.1.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010696pt;margin-top:144.985504pt;width:427.65pt;height:210.85pt;mso-position-horizontal-relative:page;mso-position-vertical-relative:page;z-index:-15838720" type="#_x0000_t202" id="docshape5" filled="false" stroked="false">
            <v:textbox inset="0,0,0,0">
              <w:txbxContent>
                <w:p>
                  <w:pPr>
                    <w:pStyle w:val="BodyText"/>
                    <w:spacing w:line="264" w:lineRule="auto" w:before="20"/>
                    <w:ind w:left="20" w:right="216"/>
                  </w:pPr>
                  <w:r>
                    <w:rPr>
                      <w:color w:val="231F20"/>
                    </w:rPr>
                    <w:t>The following document summarises the steps to safer recruiting for parishes and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PCCs and contains models of good practice to support safer recruiting in the Church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of England.</w:t>
                  </w:r>
                </w:p>
                <w:p>
                  <w:pPr>
                    <w:pStyle w:val="BodyText"/>
                    <w:spacing w:line="264" w:lineRule="auto" w:before="0"/>
                    <w:ind w:left="20"/>
                  </w:pP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executive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summary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provided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link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between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models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good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practice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guidance.</w:t>
                  </w:r>
                </w:p>
                <w:p>
                  <w:pPr>
                    <w:pStyle w:val="BodyText"/>
                    <w:spacing w:line="264" w:lineRule="auto" w:before="0"/>
                    <w:ind w:left="20"/>
                  </w:pPr>
                  <w:r>
                    <w:rPr>
                      <w:color w:val="231F20"/>
                    </w:rPr>
                    <w:t>Finding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recruiting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right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or at risk of, abuse or neglect can be difficult. What follows is a safer recruitment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checklist to help make sure that Dioceses and parishes recruit/appoint appropriate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people as employees or volunteers. It is a criminal offence for an individual who is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barred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</w:p>
                <w:p>
                  <w:pPr>
                    <w:pStyle w:val="BodyText"/>
                    <w:spacing w:line="264" w:lineRule="auto" w:before="0"/>
                    <w:ind w:left="20"/>
                  </w:pPr>
                  <w:r>
                    <w:rPr>
                      <w:color w:val="231F20"/>
                    </w:rPr>
                    <w:t>at risk of, abuse or neglect) to apply for a regulated activity role and it is a criminal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offence for an organisation to appoint a barred person to a regulated activity role. A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DBS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check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process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appointer/appointing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body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minded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appoint. A DBS check is not the start of the process and should not be the only check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suitability.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160698pt;margin-top:186.994507pt;width:21.55pt;height:14.8pt;mso-position-horizontal-relative:page;mso-position-vertical-relative:page;z-index:-15838208" type="#_x0000_t202" id="docshape6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1.2.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160698pt;margin-top:215.000504pt;width:21.55pt;height:14.8pt;mso-position-horizontal-relative:page;mso-position-vertical-relative:page;z-index:-15837696" type="#_x0000_t202" id="docshape7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1.3.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69.022491pt;width:288.55pt;height:14.8pt;mso-position-horizontal-relative:page;mso-position-vertical-relative:page;z-index:-15837184" type="#_x0000_t202" id="docshape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2.</w:t>
                  </w:r>
                  <w:r>
                    <w:rPr>
                      <w:b/>
                      <w:color w:val="E21E26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The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steps to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Safer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Recruiting: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executive summary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24670pt;margin-top:803.790771pt;width:36.8pt;height:14.8pt;mso-position-horizontal-relative:page;mso-position-vertical-relative:page;z-index:-15836672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36160" type="#_x0000_t202" id="docshape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35648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84.811127pt;width:29.3pt;height:58.15pt;mso-position-horizontal-relative:page;mso-position-vertical-relative:page;z-index:-15835136" type="#_x0000_t202" id="docshape12" filled="false" stroked="false">
            <v:textbox inset="0,0,0,0">
              <w:txbxContent>
                <w:p>
                  <w:pPr>
                    <w:pStyle w:val="BodyText"/>
                    <w:spacing w:before="35"/>
                  </w:pPr>
                  <w:r>
                    <w:rPr>
                      <w:color w:val="231F20"/>
                    </w:rPr>
                    <w:t>1.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384.811127pt;width:474.35pt;height:58.15pt;mso-position-horizontal-relative:page;mso-position-vertical-relative:page;z-index:-15834624" type="#_x0000_t202" id="docshape13" filled="false" stroked="false">
            <v:textbox inset="0,0,0,0">
              <w:txbxContent>
                <w:p>
                  <w:pPr>
                    <w:pStyle w:val="BodyText"/>
                    <w:spacing w:line="264" w:lineRule="auto" w:before="35"/>
                    <w:ind w:left="79" w:right="507"/>
                  </w:pPr>
                  <w:r>
                    <w:rPr>
                      <w:b/>
                      <w:color w:val="231F20"/>
                    </w:rPr>
                    <w:t>Be clear</w:t>
                  </w:r>
                  <w:r>
                    <w:rPr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b/>
                      <w:color w:val="231F20"/>
                    </w:rPr>
                    <w:t>about</w:t>
                  </w:r>
                  <w:r>
                    <w:rPr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b/>
                      <w:color w:val="231F20"/>
                    </w:rPr>
                    <w:t>who</w:t>
                  </w:r>
                  <w:r>
                    <w:rPr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b/>
                      <w:color w:val="231F20"/>
                    </w:rPr>
                    <w:t>is</w:t>
                  </w:r>
                  <w:r>
                    <w:rPr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b/>
                      <w:color w:val="231F20"/>
                    </w:rPr>
                    <w:t>responsible for</w:t>
                  </w:r>
                  <w:r>
                    <w:rPr>
                      <w:b/>
                      <w:color w:val="231F20"/>
                      <w:spacing w:val="1"/>
                    </w:rPr>
                    <w:t> </w:t>
                  </w:r>
                  <w:r>
                    <w:rPr>
                      <w:b/>
                      <w:color w:val="231F20"/>
                    </w:rPr>
                    <w:t>appointments.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local churches this rests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 PCC. Responsibility can be delegated but the person must have been safely recruited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him/herself,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capable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competent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recruitment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able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keep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personal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matters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confidential.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42.921417pt;width:29.3pt;height:44.15pt;mso-position-horizontal-relative:page;mso-position-vertical-relative:page;z-index:-15834112" type="#_x0000_t202" id="docshape14" filled="false" stroked="false">
            <v:textbox inset="0,0,0,0">
              <w:txbxContent>
                <w:p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2.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442.921417pt;width:474.35pt;height:44.15pt;mso-position-horizontal-relative:page;mso-position-vertical-relative:page;z-index:-15833600" type="#_x0000_t202" id="docshape15" filled="false" stroked="false">
            <v:textbox inset="0,0,0,0">
              <w:txbxContent>
                <w:p>
                  <w:pPr>
                    <w:spacing w:line="264" w:lineRule="auto" w:before="36"/>
                    <w:ind w:left="79" w:right="653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Have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policy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statement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recruitment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of</w:t>
                  </w:r>
                  <w:r>
                    <w:rPr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ex-offenders.</w:t>
                  </w:r>
                  <w:r>
                    <w:rPr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Applicants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must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be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clear</w:t>
                  </w:r>
                  <w:r>
                    <w:rPr>
                      <w:color w:val="231F20"/>
                      <w:spacing w:val="-6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about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how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they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will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be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treated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if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they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are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ex-offenders.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</w:t>
                  </w:r>
                  <w:r>
                    <w:rPr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DBS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has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published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sample</w:t>
                  </w:r>
                  <w:r>
                    <w:rPr>
                      <w:color w:val="231F20"/>
                      <w:spacing w:val="-6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policy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statement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on the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recruitment of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ex-offenders.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87.03183pt;width:29.3pt;height:30.15pt;mso-position-horizontal-relative:page;mso-position-vertical-relative:page;z-index:-15833088" type="#_x0000_t202" id="docshape16" filled="false" stroked="false">
            <v:textbox inset="0,0,0,0">
              <w:txbxContent>
                <w:p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3.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487.03183pt;width:474.35pt;height:30.15pt;mso-position-horizontal-relative:page;mso-position-vertical-relative:page;z-index:-15832576" type="#_x0000_t202" id="docshape17" filled="false" stroked="false">
            <v:textbox inset="0,0,0,0">
              <w:txbxContent>
                <w:p>
                  <w:pPr>
                    <w:spacing w:line="264" w:lineRule="auto" w:before="36"/>
                    <w:ind w:left="79" w:right="507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Ensure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that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there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are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safeguarding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policies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in</w:t>
                  </w:r>
                  <w:r>
                    <w:rPr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place.</w:t>
                  </w:r>
                  <w:r>
                    <w:rPr>
                      <w:b/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parish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must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have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adopted</w:t>
                  </w:r>
                  <w:r>
                    <w:rPr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</w:t>
                  </w:r>
                  <w:r>
                    <w:rPr>
                      <w:color w:val="231F20"/>
                      <w:spacing w:val="-6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House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of Bishops’</w:t>
                  </w:r>
                  <w:r>
                    <w:rPr>
                      <w:color w:val="231F20"/>
                      <w:spacing w:val="-9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safeguarding policies.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517.142090pt;width:29.3pt;height:30.15pt;mso-position-horizontal-relative:page;mso-position-vertical-relative:page;z-index:-15832064" type="#_x0000_t202" id="docshape18" filled="false" stroked="false">
            <v:textbox inset="0,0,0,0">
              <w:txbxContent>
                <w:p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4.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517.142090pt;width:474.35pt;height:30.15pt;mso-position-horizontal-relative:page;mso-position-vertical-relative:page;z-index:-15831552" type="#_x0000_t202" id="docshape19" filled="false" stroked="false">
            <v:textbox inset="0,0,0,0">
              <w:txbxContent>
                <w:p>
                  <w:pPr>
                    <w:spacing w:line="264" w:lineRule="auto" w:before="36"/>
                    <w:ind w:left="79" w:right="576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Have a clear </w:t>
                  </w:r>
                  <w:r>
                    <w:rPr>
                      <w:b/>
                      <w:color w:val="231F20"/>
                      <w:sz w:val="22"/>
                    </w:rPr>
                    <w:t>job description or role which sets out what tasks the applicant will do. </w:t>
                  </w:r>
                  <w:r>
                    <w:rPr>
                      <w:color w:val="231F20"/>
                      <w:sz w:val="22"/>
                    </w:rPr>
                    <w:t>A</w:t>
                  </w:r>
                  <w:r>
                    <w:rPr>
                      <w:color w:val="231F20"/>
                      <w:spacing w:val="-64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model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template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is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shown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A</w:t>
                  </w:r>
                  <w:r>
                    <w:rPr>
                      <w:i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Safe</w:t>
                  </w:r>
                  <w:r>
                    <w:rPr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231F20"/>
                      <w:sz w:val="22"/>
                    </w:rPr>
                    <w:t>Church</w:t>
                  </w:r>
                  <w:r>
                    <w:rPr>
                      <w:color w:val="231F20"/>
                      <w:sz w:val="22"/>
                    </w:rPr>
                    <w:t>,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Section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10,</w:t>
                  </w:r>
                  <w:r>
                    <w:rPr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Appendix 14.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547.252502pt;width:29.3pt;height:114.15pt;mso-position-horizontal-relative:page;mso-position-vertical-relative:page;z-index:-15831040" type="#_x0000_t202" id="docshape20" filled="false" stroked="false">
            <v:textbox inset="0,0,0,0">
              <w:txbxContent>
                <w:p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5.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547.252502pt;width:474.35pt;height:114.15pt;mso-position-horizontal-relative:page;mso-position-vertical-relative:page;z-index:-15830528" type="#_x0000_t202" id="docshape21" filled="false" stroked="false">
            <v:textbox inset="0,0,0,0">
              <w:txbxContent>
                <w:p>
                  <w:pPr>
                    <w:pStyle w:val="BodyText"/>
                    <w:spacing w:line="264" w:lineRule="auto" w:before="34"/>
                    <w:ind w:right="155" w:hanging="1"/>
                  </w:pPr>
                  <w:r>
                    <w:rPr>
                      <w:b/>
                      <w:color w:val="231F20"/>
                    </w:rPr>
                    <w:t>Application form/references. </w:t>
                  </w:r>
                  <w:r>
                    <w:rPr>
                      <w:color w:val="231F20"/>
                    </w:rPr>
                    <w:t>A model template application form can be found in </w:t>
                  </w:r>
                  <w:r>
                    <w:rPr>
                      <w:i/>
                      <w:color w:val="231F20"/>
                    </w:rPr>
                    <w:t>A Safe</w:t>
                  </w:r>
                  <w:r>
                    <w:rPr>
                      <w:i/>
                      <w:color w:val="231F20"/>
                      <w:spacing w:val="1"/>
                    </w:rPr>
                    <w:t> </w:t>
                  </w:r>
                  <w:r>
                    <w:rPr>
                      <w:i/>
                      <w:color w:val="231F20"/>
                    </w:rPr>
                    <w:t>Church</w:t>
                  </w:r>
                  <w:r>
                    <w:rPr>
                      <w:color w:val="231F20"/>
                    </w:rPr>
                    <w:t>, Section 10, Appendix 15. Always ask for and take up references. Ask referees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specifically about an individual’s suitability to work with vulnerable people. Ensure that you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carefully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examine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application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forms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references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information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has been provided is consistent and the organisation has a satisfactory explanation from the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applicant in relation to any discrepancies and any gaps in the applicant’s personal history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and/or career. A model template reference request letter can be found in </w:t>
                  </w:r>
                  <w:r>
                    <w:rPr>
                      <w:i/>
                      <w:color w:val="231F20"/>
                    </w:rPr>
                    <w:t>A Safe Church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Section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10,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Appendix 17.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61.362793pt;width:29.3pt;height:72.150pt;mso-position-horizontal-relative:page;mso-position-vertical-relative:page;z-index:-15830016" type="#_x0000_t202" id="docshape22" filled="false" stroked="false">
            <v:textbox inset="0,0,0,0">
              <w:txbxContent>
                <w:p>
                  <w:pPr>
                    <w:pStyle w:val="BodyText"/>
                    <w:spacing w:before="37"/>
                  </w:pPr>
                  <w:r>
                    <w:rPr>
                      <w:color w:val="231F20"/>
                    </w:rPr>
                    <w:t>6.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661.362793pt;width:474.35pt;height:72.150pt;mso-position-horizontal-relative:page;mso-position-vertical-relative:page;z-index:-15829504" type="#_x0000_t202" id="docshape23" filled="false" stroked="false">
            <v:textbox inset="0,0,0,0">
              <w:txbxContent>
                <w:p>
                  <w:pPr>
                    <w:pStyle w:val="BodyText"/>
                    <w:spacing w:line="264" w:lineRule="auto" w:before="37"/>
                    <w:ind w:right="309"/>
                  </w:pPr>
                  <w:r>
                    <w:rPr>
                      <w:b/>
                      <w:color w:val="231F20"/>
                    </w:rPr>
                    <w:t>The Confidential Declaration. </w:t>
                  </w:r>
                  <w:r>
                    <w:rPr>
                      <w:color w:val="231F20"/>
                    </w:rPr>
                    <w:t>Ask if there is any reason why an applicant should not 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neglect.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Diocesan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Safeguarding Adviser is there to give advice and must be contacted if an applicant discloses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any information in his/her Confidential Declaration. </w:t>
                  </w:r>
                  <w:r>
                    <w:rPr>
                      <w:color w:val="231F20"/>
                    </w:rPr>
                    <w:t>A Confidential Declaration form can be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found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i/>
                      <w:color w:val="231F20"/>
                    </w:rPr>
                    <w:t>A</w:t>
                  </w:r>
                  <w:r>
                    <w:rPr>
                      <w:i/>
                      <w:color w:val="231F20"/>
                      <w:spacing w:val="-9"/>
                    </w:rPr>
                    <w:t> </w:t>
                  </w:r>
                  <w:r>
                    <w:rPr>
                      <w:i/>
                      <w:color w:val="231F20"/>
                    </w:rPr>
                    <w:t>Safe</w:t>
                  </w:r>
                  <w:r>
                    <w:rPr>
                      <w:i/>
                      <w:color w:val="231F20"/>
                      <w:spacing w:val="-1"/>
                    </w:rPr>
                    <w:t> </w:t>
                  </w:r>
                  <w:r>
                    <w:rPr>
                      <w:i/>
                      <w:color w:val="231F20"/>
                    </w:rPr>
                    <w:t>Church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Section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10,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Appendix 20.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27968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12.677414pt;width:504.6pt;height:231.35pt;mso-position-horizontal-relative:page;mso-position-vertical-relative:page;z-index:-15827456" id="docshapegroup24" coordorigin="680,2254" coordsize="10092,4627">
            <v:line style="position:absolute" from="680,2264" to="1276,2264" stroked="true" strokeweight="1pt" strokecolor="#808285">
              <v:stroke dashstyle="solid"/>
            </v:line>
            <v:line style="position:absolute" from="690,5376" to="690,2274" stroked="true" strokeweight="1pt" strokecolor="#808285">
              <v:stroke dashstyle="solid"/>
            </v:line>
            <v:line style="position:absolute" from="1276,2264" to="10772,2264" stroked="true" strokeweight="1pt" strokecolor="#808285">
              <v:stroke dashstyle="solid"/>
            </v:line>
            <v:line style="position:absolute" from="1276,5376" to="1276,2274" stroked="true" strokeweight="1pt" strokecolor="#808285">
              <v:stroke dashstyle="solid"/>
            </v:line>
            <v:line style="position:absolute" from="10762,5376" to="10762,2274" stroked="true" strokeweight="1pt" strokecolor="#808285">
              <v:stroke dashstyle="solid"/>
            </v:line>
            <v:line style="position:absolute" from="680,5386" to="1276,5386" stroked="true" strokeweight="1pt" strokecolor="#808285">
              <v:stroke dashstyle="solid"/>
            </v:line>
            <v:line style="position:absolute" from="690,6258" to="690,5396" stroked="true" strokeweight="1pt" strokecolor="#808285">
              <v:stroke dashstyle="solid"/>
            </v:line>
            <v:line style="position:absolute" from="1276,5386" to="10772,5386" stroked="true" strokeweight="1pt" strokecolor="#808285">
              <v:stroke dashstyle="solid"/>
            </v:line>
            <v:line style="position:absolute" from="1276,6258" to="1276,5396" stroked="true" strokeweight="1pt" strokecolor="#808285">
              <v:stroke dashstyle="solid"/>
            </v:line>
            <v:line style="position:absolute" from="10762,6258" to="10762,5396" stroked="true" strokeweight="1pt" strokecolor="#808285">
              <v:stroke dashstyle="solid"/>
            </v:line>
            <v:line style="position:absolute" from="680,6268" to="1276,6268" stroked="true" strokeweight="1pt" strokecolor="#808285">
              <v:stroke dashstyle="solid"/>
            </v:line>
            <v:line style="position:absolute" from="690,6860" to="690,6278" stroked="true" strokeweight="1pt" strokecolor="#808285">
              <v:stroke dashstyle="solid"/>
            </v:line>
            <v:line style="position:absolute" from="1276,6268" to="10772,6268" stroked="true" strokeweight="1pt" strokecolor="#808285">
              <v:stroke dashstyle="solid"/>
            </v:line>
            <v:line style="position:absolute" from="1276,6860" to="1276,6278" stroked="true" strokeweight="1pt" strokecolor="#808285">
              <v:stroke dashstyle="solid"/>
            </v:line>
            <v:line style="position:absolute" from="10762,6860" to="10762,6278" stroked="true" strokeweight="1pt" strokecolor="#808285">
              <v:stroke dashstyle="solid"/>
            </v:line>
            <v:line style="position:absolute" from="680,6870" to="1276,6870" stroked="true" strokeweight="1pt" strokecolor="#808285">
              <v:stroke dashstyle="solid"/>
            </v:line>
            <v:line style="position:absolute" from="1276,6870" to="10772,6870" stroked="true" strokeweight="1pt" strokecolor="#808285">
              <v:stroke dashstyle="solid"/>
            </v:line>
            <w10:wrap type="none"/>
          </v:group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26944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26432" type="#_x0000_t202" id="docshape2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13.177414pt;width:29.3pt;height:156.15pt;mso-position-horizontal-relative:page;mso-position-vertical-relative:page;z-index:-15825920" type="#_x0000_t202" id="docshape27" filled="false" stroked="false">
            <v:textbox inset="0,0,0,0">
              <w:txbxContent>
                <w:p>
                  <w:pPr>
                    <w:pStyle w:val="BodyText"/>
                    <w:spacing w:before="35"/>
                  </w:pPr>
                  <w:r>
                    <w:rPr>
                      <w:color w:val="231F20"/>
                    </w:rPr>
                    <w:t>7.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113.177414pt;width:474.35pt;height:156.15pt;mso-position-horizontal-relative:page;mso-position-vertical-relative:page;z-index:-15825408" type="#_x0000_t202" id="docshape28" filled="false" stroked="false">
            <v:textbox inset="0,0,0,0">
              <w:txbxContent>
                <w:p>
                  <w:pPr>
                    <w:pStyle w:val="BodyText"/>
                    <w:spacing w:line="264" w:lineRule="auto" w:before="31"/>
                    <w:ind w:left="79" w:right="155"/>
                  </w:pPr>
                  <w:r>
                    <w:rPr>
                      <w:b/>
                      <w:color w:val="231F20"/>
                    </w:rPr>
                    <w:t>Interview/discussion.</w:t>
                  </w:r>
                  <w:r>
                    <w:rPr>
                      <w:b/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face-to-face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interview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discussion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5"/>
                    </w:rPr>
                    <w:t> </w:t>
                  </w:r>
                  <w:r>
                    <w:rPr>
                      <w:color w:val="231F20"/>
                    </w:rPr>
                    <w:t>pre-planned</w:t>
                  </w:r>
                  <w:r>
                    <w:rPr>
                      <w:color w:val="231F20"/>
                      <w:spacing w:val="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clear questions to assess a person’s suitability for a role. Check the Confidential Declaration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and the references. A model interview/discussion template can be found in </w:t>
                  </w:r>
                  <w:r>
                    <w:rPr>
                      <w:i/>
                      <w:color w:val="231F20"/>
                    </w:rPr>
                    <w:t>A Safe Church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Section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10,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Appendix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16.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Questions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assess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values,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motives,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behaviours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attitudes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of those applying for roles which work with vulnerable groups. If the person/chair of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interview panel conducting the interview/discussion is minded to recommend approval then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the applicant must be asked to complete an appropriate criminal record check (for example,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an enhanced criminal record check, if eligible). Special arrangements apply to overseas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applicants. An enhanced criminal record check must always be required in relation to people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sent abroad to work with vulnerable people (children or adults experiencing, or at risk of,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or neglect)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part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recruitment process.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69.287811pt;width:29.3pt;height:44.15pt;mso-position-horizontal-relative:page;mso-position-vertical-relative:page;z-index:-15824896" type="#_x0000_t202" id="docshape29" filled="false" stroked="false">
            <v:textbox inset="0,0,0,0">
              <w:txbxContent>
                <w:p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8.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269.287811pt;width:474.35pt;height:44.15pt;mso-position-horizontal-relative:page;mso-position-vertical-relative:page;z-index:-15824384" type="#_x0000_t202" id="docshape30" filled="false" stroked="false">
            <v:textbox inset="0,0,0,0">
              <w:txbxContent>
                <w:p>
                  <w:pPr>
                    <w:pStyle w:val="BodyText"/>
                    <w:spacing w:line="264" w:lineRule="auto" w:before="36"/>
                    <w:ind w:right="80"/>
                  </w:pPr>
                  <w:r>
                    <w:rPr>
                      <w:b/>
                      <w:color w:val="231F20"/>
                    </w:rPr>
                    <w:t>Approval.</w:t>
                  </w:r>
                  <w:r>
                    <w:rPr>
                      <w:b/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appoint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voluntary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paid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the responsibility for appointments. A model letter of appointment template can be found in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i/>
                      <w:color w:val="231F20"/>
                    </w:rPr>
                    <w:t>A</w:t>
                  </w:r>
                  <w:r>
                    <w:rPr>
                      <w:i/>
                      <w:color w:val="231F20"/>
                      <w:spacing w:val="-10"/>
                    </w:rPr>
                    <w:t> </w:t>
                  </w:r>
                  <w:r>
                    <w:rPr>
                      <w:i/>
                      <w:color w:val="231F20"/>
                    </w:rPr>
                    <w:t>Safe</w:t>
                  </w:r>
                  <w:r>
                    <w:rPr>
                      <w:i/>
                      <w:color w:val="231F20"/>
                      <w:spacing w:val="-1"/>
                    </w:rPr>
                    <w:t> </w:t>
                  </w:r>
                  <w:r>
                    <w:rPr>
                      <w:i/>
                      <w:color w:val="231F20"/>
                    </w:rPr>
                    <w:t>Church</w:t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Section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10,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Appendix 18.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13.398102pt;width:29.3pt;height:30.15pt;mso-position-horizontal-relative:page;mso-position-vertical-relative:page;z-index:-15823872" type="#_x0000_t202" id="docshape31" filled="false" stroked="false">
            <v:textbox inset="0,0,0,0">
              <w:txbxContent>
                <w:p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9.</w:t>
                  </w:r>
                </w:p>
                <w:p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779499pt;margin-top:313.398102pt;width:474.35pt;height:30.15pt;mso-position-horizontal-relative:page;mso-position-vertical-relative:page;z-index:-15823360" type="#_x0000_t202" id="docshape32" filled="false" stroked="false">
            <v:textbox inset="0,0,0,0">
              <w:txbxContent>
                <w:p>
                  <w:pPr>
                    <w:pStyle w:val="BodyText"/>
                    <w:spacing w:line="264" w:lineRule="auto" w:before="36"/>
                    <w:ind w:right="155"/>
                  </w:pP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good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practice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induct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new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volunteer,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supervision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support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place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conduct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review regularly as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role requires.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520" w:bottom="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8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2022-02-03T16:30:16Z</dcterms:created>
  <dcterms:modified xsi:type="dcterms:W3CDTF">2022-02-03T16:30:16Z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